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1E9C9" w14:textId="77777777" w:rsidR="00095C57" w:rsidRPr="00095C57" w:rsidRDefault="00095C57" w:rsidP="00095C57">
      <w:pPr>
        <w:spacing w:after="0" w:line="259" w:lineRule="auto"/>
        <w:ind w:left="108"/>
        <w:jc w:val="center"/>
        <w:rPr>
          <w:rFonts w:ascii="Century Gothic" w:hAnsi="Century Gothic"/>
          <w:b/>
          <w:bCs/>
          <w:sz w:val="24"/>
          <w:szCs w:val="24"/>
          <w:lang w:val="es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D622F9C" wp14:editId="7AC93FF2">
            <wp:simplePos x="0" y="0"/>
            <wp:positionH relativeFrom="margin">
              <wp:align>left</wp:align>
            </wp:positionH>
            <wp:positionV relativeFrom="paragraph">
              <wp:posOffset>-327660</wp:posOffset>
            </wp:positionV>
            <wp:extent cx="1266825" cy="720507"/>
            <wp:effectExtent l="0" t="0" r="0" b="3810"/>
            <wp:wrapNone/>
            <wp:docPr id="1087205658" name="Picture 108720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C57">
        <w:rPr>
          <w:lang w:val="es-US"/>
        </w:rPr>
        <w:t xml:space="preserve"> </w:t>
      </w:r>
      <w:r w:rsidRPr="00095C57">
        <w:rPr>
          <w:rFonts w:ascii="Century Gothic" w:hAnsi="Century Gothic"/>
          <w:b/>
          <w:noProof/>
          <w:sz w:val="24"/>
          <w:szCs w:val="24"/>
          <w:lang w:val="es-US"/>
        </w:rPr>
        <w:t xml:space="preserve">COVID-19 Instruções do Certificado de Avaliação de Perigos </w:t>
      </w:r>
      <w:r w:rsidRPr="00095C57">
        <w:rPr>
          <w:rFonts w:ascii="Century Gothic" w:hAnsi="Century Gothic"/>
          <w:b/>
          <w:bCs/>
          <w:sz w:val="24"/>
          <w:szCs w:val="24"/>
          <w:lang w:val="es-US"/>
        </w:rPr>
        <w:t xml:space="preserve"> </w:t>
      </w:r>
    </w:p>
    <w:p w14:paraId="4762A713" w14:textId="77777777" w:rsidR="00095C57" w:rsidRPr="00095C57" w:rsidRDefault="00095C57" w:rsidP="00095C57">
      <w:pPr>
        <w:spacing w:after="0" w:line="259" w:lineRule="auto"/>
        <w:ind w:left="108"/>
        <w:jc w:val="center"/>
        <w:rPr>
          <w:rFonts w:ascii="Century Gothic" w:hAnsi="Century Gothic"/>
          <w:lang w:val="es-US"/>
        </w:rPr>
      </w:pPr>
    </w:p>
    <w:p w14:paraId="2EB062B0" w14:textId="77777777" w:rsidR="00095C57" w:rsidRPr="00095C57" w:rsidRDefault="00095C57" w:rsidP="00095C57">
      <w:pPr>
        <w:spacing w:line="276" w:lineRule="auto"/>
        <w:ind w:left="0" w:firstLine="0"/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</w:pPr>
    </w:p>
    <w:p w14:paraId="3FC6CB29" w14:textId="77777777" w:rsidR="00095C57" w:rsidRPr="00095C57" w:rsidRDefault="00095C57" w:rsidP="00095C57">
      <w:pPr>
        <w:ind w:left="-2"/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</w:pPr>
      <w:r w:rsidRPr="00095C57"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  <w:t xml:space="preserve">§16VAC25-220, Norma Temporária de Emergência para a Prevenção de Doenças Infecciosas COVID-19 </w:t>
      </w:r>
    </w:p>
    <w:p w14:paraId="486CB9D6" w14:textId="77777777" w:rsidR="00095C57" w:rsidRPr="00095C57" w:rsidRDefault="00095C57" w:rsidP="00095C57">
      <w:pPr>
        <w:ind w:left="-2"/>
        <w:rPr>
          <w:rFonts w:ascii="Century Gothic" w:hAnsi="Century Gothic"/>
          <w:b/>
          <w:bCs/>
          <w:lang w:val="es-US"/>
        </w:rPr>
      </w:pPr>
      <w:r w:rsidRPr="00095C57"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  <w:t>VOSH Divulgação, Educação e Formaçã</w:t>
      </w:r>
      <w:r w:rsidRPr="00095C57">
        <w:rPr>
          <w:rFonts w:ascii="Century Gothic" w:hAnsi="Century Gothic"/>
          <w:b/>
          <w:bCs/>
          <w:lang w:val="es-US"/>
        </w:rPr>
        <w:t xml:space="preserve"> </w:t>
      </w:r>
    </w:p>
    <w:p w14:paraId="0E222DB2" w14:textId="77777777" w:rsidR="00095C57" w:rsidRPr="00095C57" w:rsidRDefault="00095C57" w:rsidP="00095C57">
      <w:pPr>
        <w:ind w:left="-2"/>
        <w:rPr>
          <w:rFonts w:ascii="Century Gothic" w:hAnsi="Century Gothic"/>
          <w:lang w:val="es-US"/>
        </w:rPr>
      </w:pPr>
    </w:p>
    <w:p w14:paraId="503FCF2B" w14:textId="77777777" w:rsidR="00095C57" w:rsidRPr="00095C57" w:rsidRDefault="00095C57" w:rsidP="00095C57">
      <w:pPr>
        <w:ind w:left="-2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 xml:space="preserve">Este documento aborda os perigos a que os empregados da COVID-19 podem ser expostos.  Servirá como documento de Certificação de Avaliação de Perigos exigido para satisfazer os requisitos de 16VAC-25-220   </w:t>
      </w:r>
    </w:p>
    <w:p w14:paraId="3AFB85BB" w14:textId="77777777" w:rsidR="00095C57" w:rsidRPr="00095C57" w:rsidRDefault="00095C57" w:rsidP="00095C57">
      <w:pPr>
        <w:ind w:left="-2"/>
        <w:rPr>
          <w:rFonts w:ascii="Century Gothic" w:hAnsi="Century Gothic"/>
          <w:lang w:val="es-US"/>
        </w:rPr>
      </w:pPr>
    </w:p>
    <w:p w14:paraId="5E4619FE" w14:textId="77777777" w:rsidR="00095C57" w:rsidRPr="00095C57" w:rsidRDefault="00095C57" w:rsidP="00095C57">
      <w:pPr>
        <w:ind w:left="-2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>Com base na hierarquia de controlos, o EPI é um último recurso.  O equipamento de protecção pessoal por si só não deve ser fiável para proporcionar protecção contra a COVID-19, mas deve ser utilizado em conjunto com controlos de engenharia, controlos administrativos, e controlos processuais.</w:t>
      </w:r>
    </w:p>
    <w:p w14:paraId="426014EB" w14:textId="77777777" w:rsidR="00095C57" w:rsidRPr="00095C57" w:rsidRDefault="00095C57" w:rsidP="00095C57">
      <w:pPr>
        <w:ind w:left="-2"/>
        <w:rPr>
          <w:rFonts w:ascii="Century Gothic" w:hAnsi="Century Gothic"/>
          <w:lang w:val="es-US"/>
        </w:rPr>
      </w:pPr>
    </w:p>
    <w:p w14:paraId="7B0F4792" w14:textId="77777777" w:rsidR="00095C57" w:rsidRPr="00095C57" w:rsidRDefault="00095C57" w:rsidP="00095C57">
      <w:pPr>
        <w:spacing w:after="248" w:line="259" w:lineRule="auto"/>
        <w:ind w:left="-2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b/>
          <w:lang w:val="es-US"/>
        </w:rPr>
        <w:t>Directrizes Gerais</w:t>
      </w:r>
    </w:p>
    <w:p w14:paraId="1439A1D4" w14:textId="77777777" w:rsidR="00095C57" w:rsidRPr="00095C57" w:rsidRDefault="00095C57" w:rsidP="00095C57">
      <w:pPr>
        <w:spacing w:after="283"/>
        <w:ind w:left="-2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 xml:space="preserve">A Avaliação de Perigos pode ser realizada para uma área, uma categoria de trabalho ou para um indivíduo, seleccionando e preenchendo a caixa apropriada. O avaliador designado deve incluir o seu nome, departamento/divisão a ser avaliada, e a data.    As avaliações concluídas devem ser acessíveis aos funcionários e inspectores e actualizadas quando necessário. </w:t>
      </w:r>
    </w:p>
    <w:p w14:paraId="02020A2D" w14:textId="77777777" w:rsidR="00095C57" w:rsidRDefault="00095C57" w:rsidP="00095C57">
      <w:pPr>
        <w:spacing w:after="258" w:line="259" w:lineRule="auto"/>
        <w:ind w:left="-3"/>
        <w:rPr>
          <w:rFonts w:ascii="Century Gothic" w:hAnsi="Century Gothic"/>
          <w:b/>
        </w:rPr>
      </w:pPr>
      <w:r w:rsidRPr="00095C57">
        <w:rPr>
          <w:rFonts w:ascii="Century Gothic" w:hAnsi="Century Gothic"/>
          <w:b/>
        </w:rPr>
        <w:t>NSTRUÇÕES DE AVALIAÇÃO DOS PERIGOS</w:t>
      </w:r>
    </w:p>
    <w:p w14:paraId="234D10C1" w14:textId="77777777" w:rsidR="00095C57" w:rsidRPr="00095C57" w:rsidRDefault="00E17CDF" w:rsidP="00095C57">
      <w:pPr>
        <w:spacing w:after="258" w:line="259" w:lineRule="auto"/>
        <w:ind w:left="-3"/>
        <w:rPr>
          <w:rFonts w:ascii="Century Gothic" w:hAnsi="Century Gothic"/>
          <w:b/>
          <w:lang w:val="es-US"/>
        </w:rPr>
      </w:pPr>
      <w:r>
        <w:rPr>
          <w:rFonts w:ascii="Century Gothic" w:hAnsi="Century Gothic"/>
          <w:b/>
          <w:lang w:val="es-US"/>
        </w:rPr>
        <w:t>Passo</w:t>
      </w:r>
      <w:r w:rsidR="00095C57" w:rsidRPr="00095C57">
        <w:rPr>
          <w:rFonts w:ascii="Century Gothic" w:hAnsi="Century Gothic"/>
          <w:b/>
          <w:lang w:val="es-US"/>
        </w:rPr>
        <w:t xml:space="preserve"> 1: INFORMAR OS EMPREGADOS AFECTADOS SOBRE O PROCESSO: </w:t>
      </w:r>
    </w:p>
    <w:p w14:paraId="5E887CA1" w14:textId="77777777" w:rsidR="00095C57" w:rsidRPr="00095C57" w:rsidRDefault="00095C57" w:rsidP="00095C57">
      <w:pPr>
        <w:spacing w:after="261"/>
        <w:ind w:left="-2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 xml:space="preserve">Os empregados afectados de cada área de trabalho que está a ser avaliada devem ser envolvidos no processo.  Discutir as razões do inquérito e os procedimentos que estão a ser utilizados para a avaliação.  Rever os procedimentos de trabalho, potenciais perigos e o EPI actualmente em uso. </w:t>
      </w:r>
    </w:p>
    <w:p w14:paraId="35220607" w14:textId="77777777" w:rsidR="00095C57" w:rsidRPr="00095C57" w:rsidRDefault="00095C57" w:rsidP="00095C57">
      <w:pPr>
        <w:spacing w:after="248" w:line="259" w:lineRule="auto"/>
        <w:ind w:left="-2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b/>
          <w:lang w:val="es-US"/>
        </w:rPr>
        <w:t xml:space="preserve">Passo 2: Rever dados: </w:t>
      </w:r>
    </w:p>
    <w:p w14:paraId="754E16B4" w14:textId="77777777" w:rsidR="00095C57" w:rsidRPr="00095C57" w:rsidRDefault="00095C57" w:rsidP="00095C57">
      <w:pPr>
        <w:spacing w:after="261"/>
        <w:ind w:left="-2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 xml:space="preserve">Relatórios de lesões ou doenças relacionadas com o trabalho, eventos quase desaparecidos e preocupações de segurança relatadas são fontes de dados que podem fornecer informações úteis para a avaliação de perigos. </w:t>
      </w:r>
      <w:r w:rsidRPr="00095C57">
        <w:rPr>
          <w:lang w:val="es-US"/>
        </w:rPr>
        <w:br w:type="page"/>
      </w:r>
    </w:p>
    <w:p w14:paraId="4FC9E143" w14:textId="77777777" w:rsidR="00095C57" w:rsidRPr="00095C57" w:rsidRDefault="00E17CDF" w:rsidP="00095C57">
      <w:pPr>
        <w:spacing w:after="248" w:line="259" w:lineRule="auto"/>
        <w:ind w:left="-2"/>
        <w:rPr>
          <w:rFonts w:ascii="Century Gothic" w:hAnsi="Century Gothic"/>
          <w:lang w:val="es-US"/>
        </w:rPr>
      </w:pPr>
      <w:r>
        <w:rPr>
          <w:rFonts w:ascii="Century Gothic" w:hAnsi="Century Gothic"/>
          <w:b/>
          <w:lang w:val="es-US"/>
        </w:rPr>
        <w:lastRenderedPageBreak/>
        <w:t>Passo</w:t>
      </w:r>
      <w:r w:rsidR="00095C57" w:rsidRPr="00095C57">
        <w:rPr>
          <w:rFonts w:ascii="Century Gothic" w:hAnsi="Century Gothic"/>
          <w:b/>
          <w:lang w:val="es-US"/>
        </w:rPr>
        <w:t xml:space="preserve"> 3: Realizar um inquérito de passagem: </w:t>
      </w:r>
    </w:p>
    <w:p w14:paraId="0ED3BA82" w14:textId="77777777" w:rsidR="00095C57" w:rsidRPr="00095C57" w:rsidRDefault="00095C57" w:rsidP="00095C57">
      <w:pPr>
        <w:widowControl w:val="0"/>
        <w:spacing w:after="315" w:line="259" w:lineRule="auto"/>
        <w:ind w:left="0" w:hanging="14"/>
        <w:rPr>
          <w:rFonts w:ascii="Century Gothic" w:hAnsi="Century Gothic"/>
          <w:b/>
          <w:bCs/>
          <w:lang w:val="es-US"/>
        </w:rPr>
      </w:pPr>
      <w:r w:rsidRPr="00095C57">
        <w:rPr>
          <w:rFonts w:ascii="Century Gothic" w:hAnsi="Century Gothic"/>
          <w:lang w:val="es-US"/>
        </w:rPr>
        <w:t xml:space="preserve">O objectivo do inquérito é identificar fontes de perigos para os empregados.  Observar o seguinte: disposição do local de trabalho, localização dos empregados, operações de trabalho, perigos e locais onde o EPI é actualmente utilizado, incluindo o dispositivo e o motivo da sua utilização.  Utilizando o formulário, verificar o tipo de perigo(s) presente(s) em cada secção (organizado por parte do corpo). </w:t>
      </w:r>
    </w:p>
    <w:p w14:paraId="6BA6C7AB" w14:textId="77777777" w:rsidR="00095C57" w:rsidRPr="00095C57" w:rsidRDefault="00095C57" w:rsidP="00095C57">
      <w:pPr>
        <w:spacing w:after="315"/>
        <w:ind w:left="-2"/>
        <w:rPr>
          <w:rFonts w:ascii="Century Gothic" w:hAnsi="Century Gothic"/>
          <w:b/>
          <w:lang w:val="es-US"/>
        </w:rPr>
      </w:pPr>
      <w:r w:rsidRPr="00095C57">
        <w:rPr>
          <w:rFonts w:ascii="Century Gothic" w:hAnsi="Century Gothic"/>
          <w:b/>
          <w:lang w:val="es-US"/>
        </w:rPr>
        <w:t>Passo 4: Determinar o nível de risco de perigo</w:t>
      </w:r>
    </w:p>
    <w:p w14:paraId="7846DF08" w14:textId="77777777" w:rsidR="00095C57" w:rsidRPr="00095C57" w:rsidRDefault="00095C57" w:rsidP="00095C57">
      <w:pPr>
        <w:spacing w:after="315"/>
        <w:ind w:left="-2"/>
        <w:rPr>
          <w:rFonts w:ascii="Century Gothic" w:hAnsi="Century Gothic"/>
          <w:b/>
          <w:bCs/>
          <w:lang w:val="es-US"/>
        </w:rPr>
      </w:pPr>
      <w:r w:rsidRPr="00095C57">
        <w:rPr>
          <w:rFonts w:ascii="Century Gothic" w:hAnsi="Century Gothic"/>
          <w:lang w:val="es-US"/>
        </w:rPr>
        <w:t>Utilize as definições abaixo para seleccionar o nível adequado de risco de perigo.</w:t>
      </w:r>
    </w:p>
    <w:p w14:paraId="51E7361C" w14:textId="77777777" w:rsidR="00095C57" w:rsidRPr="00095C57" w:rsidRDefault="00095C57" w:rsidP="00095C57">
      <w:pPr>
        <w:spacing w:after="315"/>
        <w:ind w:left="720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b/>
          <w:bCs/>
          <w:lang w:val="es-US"/>
        </w:rPr>
        <w:t>A. Risco de exposição muito elevado</w:t>
      </w:r>
      <w:r w:rsidRPr="00095C57">
        <w:rPr>
          <w:rFonts w:ascii="Century Gothic" w:hAnsi="Century Gothic"/>
          <w:lang w:val="es-US"/>
        </w:rPr>
        <w:t xml:space="preserve">  - As tarefas do trabalho são aquelas em locais de trabalho com elevado potencial de exposição dos trabalhadores a fontes conhecidas ou suspeitas de COVID-19 durante procedimentos médicos, post-mortem ou laboratoriais específicos. </w:t>
      </w:r>
    </w:p>
    <w:p w14:paraId="2E13A1EC" w14:textId="77777777" w:rsidR="00095C57" w:rsidRPr="00095C57" w:rsidRDefault="00095C57" w:rsidP="00095C57">
      <w:pPr>
        <w:spacing w:after="315"/>
        <w:ind w:left="720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>Exemplos:</w:t>
      </w:r>
    </w:p>
    <w:p w14:paraId="423794BB" w14:textId="77777777" w:rsidR="00095C57" w:rsidRPr="00095C57" w:rsidRDefault="00095C57" w:rsidP="00095C57">
      <w:pPr>
        <w:pStyle w:val="ListParagraph"/>
        <w:numPr>
          <w:ilvl w:val="0"/>
          <w:numId w:val="3"/>
        </w:numPr>
        <w:spacing w:after="315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>Procedimentos geradores de aerossóis (por exemplo, intubação, procedimentos de indução da tosse, broncoscopias, alguns procedimentos e exames dentários, ou recolha invasiva de amostras) num paciente ou pessoa com COVID-19 conhecido ou suspeito de ter COVID-19</w:t>
      </w:r>
    </w:p>
    <w:p w14:paraId="69519409" w14:textId="77777777" w:rsidR="00095C57" w:rsidRPr="00095C57" w:rsidRDefault="00095C57" w:rsidP="00095C57">
      <w:pPr>
        <w:pStyle w:val="ListParagraph"/>
        <w:numPr>
          <w:ilvl w:val="0"/>
          <w:numId w:val="3"/>
        </w:numPr>
        <w:spacing w:after="315"/>
        <w:rPr>
          <w:rFonts w:ascii="Century Gothic" w:hAnsi="Century Gothic"/>
          <w:lang w:val="es-US"/>
        </w:rPr>
      </w:pPr>
      <w:r w:rsidRPr="00095C57">
        <w:rPr>
          <w:rFonts w:ascii="Century Gothic" w:hAnsi="Century Gothic"/>
          <w:lang w:val="es-US"/>
        </w:rPr>
        <w:t xml:space="preserve">Recolha ou manipulação de espécimes de um doente ou pessoa conhecida ou suspeita de ter COVID-19 (por exemplo, manipulação de culturas de doentes conhecidos ou suspeitos de ter COVID-19) </w:t>
      </w:r>
    </w:p>
    <w:p w14:paraId="79A90FC2" w14:textId="77777777" w:rsidR="00095C57" w:rsidRPr="00095C57" w:rsidRDefault="00095C57" w:rsidP="00095C57">
      <w:pPr>
        <w:spacing w:after="315"/>
        <w:ind w:left="1430" w:hanging="720"/>
        <w:rPr>
          <w:rFonts w:asciiTheme="minorHAnsi" w:eastAsiaTheme="minorEastAsia" w:hAnsiTheme="minorHAnsi" w:cstheme="minorBidi"/>
          <w:color w:val="000000" w:themeColor="text1"/>
          <w:lang w:val="es-US"/>
        </w:rPr>
      </w:pPr>
      <w:r>
        <w:rPr>
          <w:rFonts w:ascii="Century Gothic" w:hAnsi="Century Gothic"/>
          <w:lang w:val="es-US"/>
        </w:rPr>
        <w:t>iii.</w:t>
      </w:r>
      <w:r>
        <w:rPr>
          <w:rFonts w:ascii="Century Gothic" w:hAnsi="Century Gothic"/>
          <w:lang w:val="es-US"/>
        </w:rPr>
        <w:tab/>
      </w:r>
      <w:r w:rsidRPr="00095C57">
        <w:rPr>
          <w:rFonts w:ascii="Century Gothic" w:hAnsi="Century Gothic"/>
          <w:lang w:val="es-US"/>
        </w:rPr>
        <w:t>Realização de uma autópsia, que geralmente envolve procedimentos geradores de aerossóis, no corpo de uma pessoa conhecida por ter, ou suspeita de ter, COVID-19 na altura da sua morte</w:t>
      </w:r>
    </w:p>
    <w:p w14:paraId="65CE744B" w14:textId="77777777" w:rsidR="00E17CDF" w:rsidRPr="00E17CDF" w:rsidRDefault="00095C57" w:rsidP="00E17CDF">
      <w:pPr>
        <w:spacing w:after="248" w:line="259" w:lineRule="auto"/>
        <w:ind w:left="720" w:firstLine="2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b/>
          <w:bCs/>
          <w:color w:val="auto"/>
          <w:lang w:val="es-US"/>
        </w:rPr>
        <w:t>B. Alto risco de exposição</w:t>
      </w:r>
      <w:r w:rsidRPr="00E17CDF">
        <w:rPr>
          <w:rFonts w:ascii="Century Gothic" w:hAnsi="Century Gothic"/>
          <w:color w:val="auto"/>
          <w:lang w:val="es-US"/>
        </w:rPr>
        <w:t xml:space="preserve"> – </w:t>
      </w:r>
      <w:r w:rsidR="00E17CDF" w:rsidRPr="00E17CDF">
        <w:rPr>
          <w:rFonts w:ascii="Century Gothic" w:hAnsi="Century Gothic"/>
          <w:color w:val="auto"/>
          <w:lang w:val="es-US"/>
        </w:rPr>
        <w:t>Trabalhos com elevado potencial de exposição dentro de 1,80 m a fontes conhecidas ou suspeitas da COVID-19.</w:t>
      </w:r>
    </w:p>
    <w:p w14:paraId="3C5053F6" w14:textId="77777777" w:rsidR="00E17CDF" w:rsidRPr="00E17CDF" w:rsidRDefault="00E17CDF" w:rsidP="00E17CDF">
      <w:pPr>
        <w:spacing w:after="248" w:line="259" w:lineRule="auto"/>
        <w:ind w:left="720" w:firstLine="2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t>Exemplos:</w:t>
      </w:r>
    </w:p>
    <w:p w14:paraId="70B1E1BA" w14:textId="77777777" w:rsidR="00E17CDF" w:rsidRPr="00E17CDF" w:rsidRDefault="00E17CDF" w:rsidP="00E17CDF">
      <w:pPr>
        <w:spacing w:after="248" w:line="259" w:lineRule="auto"/>
        <w:ind w:left="720" w:firstLine="2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t>i. Pessoal de saúde (pessoal hospitalar que deve entrar nos quartos dos pacientes) exposto a pacientes conhecidos ou suspeitos de COVID-19</w:t>
      </w:r>
    </w:p>
    <w:p w14:paraId="732D82D8" w14:textId="77777777" w:rsidR="00E17CDF" w:rsidRPr="00E17CDF" w:rsidRDefault="00E17CDF" w:rsidP="00E17CDF">
      <w:pPr>
        <w:spacing w:after="248" w:line="259" w:lineRule="auto"/>
        <w:ind w:left="720" w:firstLine="2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lastRenderedPageBreak/>
        <w:t>ii. Transporte médico (operadores de veículos de ambulância) movendo doentes conhecidos ou suspeitos de COVID-19 em veículos fechados</w:t>
      </w:r>
    </w:p>
    <w:p w14:paraId="3401966D" w14:textId="77777777" w:rsidR="00095C57" w:rsidRPr="00E17CDF" w:rsidRDefault="00E17CDF" w:rsidP="00E17CDF">
      <w:pPr>
        <w:spacing w:after="248" w:line="259" w:lineRule="auto"/>
        <w:ind w:left="720" w:firstLine="2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t>iii. Trabalhadores mortuários expostos a doentes conhecidos ou suspeitos de COVID-19</w:t>
      </w:r>
    </w:p>
    <w:p w14:paraId="3BF4941D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eastAsia="Century Gothic" w:hAnsi="Century Gothic" w:cs="Century Gothic"/>
          <w:color w:val="auto"/>
          <w:lang w:val="es-US"/>
        </w:rPr>
      </w:pPr>
      <w:r w:rsidRPr="00E17CDF">
        <w:rPr>
          <w:rFonts w:ascii="Century Gothic" w:hAnsi="Century Gothic"/>
          <w:b/>
          <w:bCs/>
          <w:color w:val="auto"/>
          <w:lang w:val="es-US"/>
        </w:rPr>
        <w:t xml:space="preserve">C. Risco de exposição média </w:t>
      </w:r>
      <w:r w:rsidR="00095C57" w:rsidRPr="00E17CDF">
        <w:rPr>
          <w:rFonts w:ascii="Century Gothic" w:hAnsi="Century Gothic"/>
          <w:color w:val="auto"/>
          <w:lang w:val="es-US"/>
        </w:rPr>
        <w:t xml:space="preserve">– </w:t>
      </w:r>
      <w:r w:rsidRPr="00E17CDF">
        <w:rPr>
          <w:rFonts w:ascii="Century Gothic" w:eastAsia="Century Gothic" w:hAnsi="Century Gothic" w:cs="Century Gothic"/>
          <w:color w:val="auto"/>
          <w:lang w:val="es-US"/>
        </w:rPr>
        <w:t xml:space="preserve">Empregos que requerem mais do que um contacto profissional mínimo dentro de um metro e meio com outros empregados, outras pessoas, ou o público em geral que podem estar infectados com o vírus SRA-CoV-2, mas que não são conhecidos ou suspeitos de estarem infectados com o vírus SRA-CoV-2. </w:t>
      </w:r>
    </w:p>
    <w:p w14:paraId="30E2DF13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eastAsia="Century Gothic" w:hAnsi="Century Gothic" w:cs="Century Gothic"/>
          <w:color w:val="auto"/>
          <w:lang w:val="es-US"/>
        </w:rPr>
      </w:pPr>
      <w:r w:rsidRPr="00E17CDF">
        <w:rPr>
          <w:rFonts w:ascii="Century Gothic" w:eastAsia="Century Gothic" w:hAnsi="Century Gothic" w:cs="Century Gothic"/>
          <w:color w:val="auto"/>
          <w:lang w:val="es-US"/>
        </w:rPr>
        <w:t>Exemplos:</w:t>
      </w:r>
    </w:p>
    <w:p w14:paraId="0A949AC5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eastAsia="Century Gothic" w:hAnsi="Century Gothic" w:cs="Century Gothic"/>
          <w:color w:val="auto"/>
          <w:lang w:val="es-US"/>
        </w:rPr>
      </w:pPr>
      <w:r w:rsidRPr="00E17CDF">
        <w:rPr>
          <w:rFonts w:ascii="Century Gothic" w:eastAsia="Century Gothic" w:hAnsi="Century Gothic" w:cs="Century Gothic"/>
          <w:color w:val="auto"/>
          <w:lang w:val="es-US"/>
        </w:rPr>
        <w:t>i. Escolas</w:t>
      </w:r>
    </w:p>
    <w:p w14:paraId="02023A42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eastAsia="Century Gothic" w:hAnsi="Century Gothic" w:cs="Century Gothic"/>
          <w:color w:val="auto"/>
          <w:lang w:val="es-US"/>
        </w:rPr>
      </w:pPr>
      <w:r w:rsidRPr="00E17CDF">
        <w:rPr>
          <w:rFonts w:ascii="Century Gothic" w:eastAsia="Century Gothic" w:hAnsi="Century Gothic" w:cs="Century Gothic"/>
          <w:color w:val="auto"/>
          <w:lang w:val="es-US"/>
        </w:rPr>
        <w:t>ii. Ambientes de trabalho de alta densidade populacional (por exemplo, aves de capoeira, carne, outro processamento alimentar; fabrico, etc.)</w:t>
      </w:r>
    </w:p>
    <w:p w14:paraId="2A819C6B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eastAsia="Century Gothic" w:hAnsi="Century Gothic" w:cs="Century Gothic"/>
          <w:color w:val="auto"/>
          <w:lang w:val="es-US"/>
        </w:rPr>
      </w:pPr>
      <w:r w:rsidRPr="00E17CDF">
        <w:rPr>
          <w:rFonts w:ascii="Century Gothic" w:eastAsia="Century Gothic" w:hAnsi="Century Gothic" w:cs="Century Gothic"/>
          <w:color w:val="auto"/>
          <w:lang w:val="es-US"/>
        </w:rPr>
        <w:t>iii. Ambientes de grande volume de clientes que enfrentam o retalho (mercearias, restaurantes, bares, etc.)</w:t>
      </w:r>
    </w:p>
    <w:p w14:paraId="495A6F51" w14:textId="77777777" w:rsidR="00095C57" w:rsidRPr="00E17CDF" w:rsidRDefault="00E17CDF" w:rsidP="00E17CDF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eastAsia="Century Gothic" w:hAnsi="Century Gothic" w:cs="Century Gothic"/>
          <w:color w:val="auto"/>
          <w:lang w:val="es-US"/>
        </w:rPr>
        <w:t>iv. Locais de reunião de massas (por exemplo, desportos, entretenimento, cinema, teatros, etc.)</w:t>
      </w:r>
    </w:p>
    <w:p w14:paraId="2D6D5AFB" w14:textId="77777777" w:rsidR="00E17CDF" w:rsidRPr="00E17CDF" w:rsidRDefault="00095C57" w:rsidP="00E17CDF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b/>
          <w:bCs/>
          <w:color w:val="auto"/>
          <w:lang w:val="es-US"/>
        </w:rPr>
        <w:t>D.</w:t>
      </w:r>
      <w:r w:rsidRPr="00E17CDF">
        <w:rPr>
          <w:rFonts w:ascii="Century Gothic" w:hAnsi="Century Gothic"/>
          <w:color w:val="auto"/>
          <w:lang w:val="es-US"/>
        </w:rPr>
        <w:t xml:space="preserve"> </w:t>
      </w:r>
      <w:r w:rsidR="00E17CDF" w:rsidRPr="00E17CDF">
        <w:rPr>
          <w:rFonts w:ascii="Century Gothic" w:hAnsi="Century Gothic"/>
          <w:b/>
          <w:bCs/>
          <w:color w:val="auto"/>
          <w:lang w:val="es-US"/>
        </w:rPr>
        <w:t>Menor Risco de Exposição</w:t>
      </w:r>
      <w:r w:rsidRPr="00E17CDF">
        <w:rPr>
          <w:rFonts w:ascii="Century Gothic" w:hAnsi="Century Gothic"/>
          <w:color w:val="auto"/>
          <w:lang w:val="es-US"/>
        </w:rPr>
        <w:t xml:space="preserve"> - </w:t>
      </w:r>
      <w:r w:rsidR="00E17CDF" w:rsidRPr="00E17CDF">
        <w:rPr>
          <w:rFonts w:ascii="Century Gothic" w:hAnsi="Century Gothic"/>
          <w:color w:val="auto"/>
          <w:lang w:val="es-US"/>
        </w:rPr>
        <w:t xml:space="preserve">Trabalhos que não requerem contacto dentro de um metro e meio com pessoas conhecidas ou suspeitas de o estarem, ou que possam estar infectadas com SRA-CoV-2.  Os trabalhadores desta categoria têm um contacto profissional mínimo com outros trabalhadores, outras pessoas, ou o público em geral, tais como num edifício de escritórios; ou são capazes de alcançar um contacto profissional mínimo através da implementação de controlos de engenharia, administrativos e de práticas laborais. </w:t>
      </w:r>
    </w:p>
    <w:p w14:paraId="57481FE1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t>Exemplos:</w:t>
      </w:r>
    </w:p>
    <w:p w14:paraId="04FBECA2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t>i. Trabalhadores à distância (ou seja, aqueles que trabalham a partir de casa durante a pandemia)</w:t>
      </w:r>
    </w:p>
    <w:p w14:paraId="4FB1B9EC" w14:textId="77777777" w:rsidR="00E17CDF" w:rsidRPr="00E17CDF" w:rsidRDefault="00E17CDF" w:rsidP="00E17CDF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t>ii. Trabalhadores de escritório que não têm contacto dentro de 2 metros com colegas de trabalho, clientes, ou o público</w:t>
      </w:r>
    </w:p>
    <w:p w14:paraId="70367FFA" w14:textId="77777777" w:rsidR="00095C57" w:rsidRPr="00E17CDF" w:rsidRDefault="00E17CDF" w:rsidP="00E17CDF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E17CDF">
        <w:rPr>
          <w:rFonts w:ascii="Century Gothic" w:hAnsi="Century Gothic"/>
          <w:color w:val="auto"/>
          <w:lang w:val="es-US"/>
        </w:rPr>
        <w:t>iii. Trabalhadores de instalações fabris e industriais que não têm dentro de 2 metros com colegas de trabalho, clientes, ou o público</w:t>
      </w:r>
    </w:p>
    <w:p w14:paraId="75D89393" w14:textId="77777777" w:rsidR="00095C57" w:rsidRPr="00E17CDF" w:rsidRDefault="00E17CDF" w:rsidP="00095C57">
      <w:pPr>
        <w:spacing w:after="248" w:line="259" w:lineRule="auto"/>
        <w:ind w:left="-2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b/>
          <w:lang w:val="es-US"/>
        </w:rPr>
        <w:lastRenderedPageBreak/>
        <w:t>Passo 5: Determinar controlos para proteger contra a COVID-19</w:t>
      </w:r>
      <w:r w:rsidR="00095C57" w:rsidRPr="00E17CDF">
        <w:rPr>
          <w:rFonts w:ascii="Century Gothic" w:hAnsi="Century Gothic"/>
          <w:b/>
          <w:lang w:val="es-US"/>
        </w:rPr>
        <w:t xml:space="preserve">: </w:t>
      </w:r>
    </w:p>
    <w:p w14:paraId="10A2750D" w14:textId="77777777" w:rsidR="00095C57" w:rsidRPr="00E17CDF" w:rsidRDefault="00E17CDF" w:rsidP="00095C57">
      <w:pPr>
        <w:spacing w:after="118"/>
        <w:ind w:left="-2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lang w:val="es-US"/>
        </w:rPr>
        <w:t>Depois de considerar e/ou planear os controlos de engenharia e administrativos, seleccionar o EPI que proporciona pelo menos o nível mínimo de protecção necessário para proteger os empregados dos perigos.  Utilizando o formulário, anotar os controlos adequados nas caixas</w:t>
      </w:r>
      <w:r w:rsidR="00095C57" w:rsidRPr="00E17CDF">
        <w:rPr>
          <w:rFonts w:ascii="Century Gothic" w:hAnsi="Century Gothic"/>
          <w:lang w:val="es-US"/>
        </w:rPr>
        <w:t xml:space="preserve">.  </w:t>
      </w:r>
    </w:p>
    <w:p w14:paraId="437136EF" w14:textId="77777777" w:rsidR="00095C57" w:rsidRPr="00E17CDF" w:rsidRDefault="00E17CDF" w:rsidP="00095C57">
      <w:pPr>
        <w:spacing w:after="0" w:line="259" w:lineRule="auto"/>
        <w:ind w:left="-2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b/>
          <w:lang w:val="es-US"/>
        </w:rPr>
        <w:t>Passo 6: Tornar o Documento Acessível</w:t>
      </w:r>
      <w:r w:rsidR="00095C57" w:rsidRPr="00E17CDF">
        <w:rPr>
          <w:rFonts w:ascii="Century Gothic" w:hAnsi="Century Gothic"/>
          <w:b/>
          <w:lang w:val="es-US"/>
        </w:rPr>
        <w:t>:</w:t>
      </w:r>
      <w:r w:rsidR="00095C57" w:rsidRPr="00E17CDF">
        <w:rPr>
          <w:rFonts w:ascii="Century Gothic" w:hAnsi="Century Gothic"/>
          <w:lang w:val="es-US"/>
        </w:rPr>
        <w:t xml:space="preserve">   </w:t>
      </w:r>
    </w:p>
    <w:p w14:paraId="6955460A" w14:textId="77777777" w:rsidR="00095C57" w:rsidRPr="00E17CDF" w:rsidRDefault="00E17CDF" w:rsidP="00095C57">
      <w:pPr>
        <w:spacing w:after="134"/>
        <w:ind w:left="-2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lang w:val="es-US"/>
        </w:rPr>
        <w:t>Uma vez preenchido, assinado e datado, armazenar o formulário electronicamente ou como uma cópia impressa num local facilmente acessível aos empregados e inspectores.</w:t>
      </w:r>
      <w:r w:rsidR="00095C57" w:rsidRPr="00E17CDF">
        <w:rPr>
          <w:rFonts w:ascii="Century Gothic" w:hAnsi="Century Gothic"/>
          <w:lang w:val="es-US"/>
        </w:rPr>
        <w:t xml:space="preserve"> </w:t>
      </w:r>
    </w:p>
    <w:p w14:paraId="076CD7F6" w14:textId="77777777" w:rsidR="00095C57" w:rsidRPr="00E17CDF" w:rsidRDefault="00095C57" w:rsidP="00095C57">
      <w:pPr>
        <w:spacing w:after="134"/>
        <w:ind w:left="-2"/>
        <w:rPr>
          <w:rFonts w:ascii="Century Gothic" w:hAnsi="Century Gothic"/>
          <w:lang w:val="es-US"/>
        </w:rPr>
      </w:pPr>
    </w:p>
    <w:p w14:paraId="75A5A22D" w14:textId="77777777" w:rsidR="00095C57" w:rsidRPr="00E17CDF" w:rsidRDefault="00E17CDF" w:rsidP="00095C57">
      <w:pPr>
        <w:spacing w:after="0" w:line="259" w:lineRule="auto"/>
        <w:ind w:left="-2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b/>
          <w:lang w:val="es-US"/>
        </w:rPr>
        <w:t>Passo 7: Reavaliar o local de trabalho conforme necessário, identificando e avaliando</w:t>
      </w:r>
      <w:r w:rsidR="00095C57" w:rsidRPr="00E17CDF">
        <w:rPr>
          <w:rFonts w:ascii="Century Gothic" w:hAnsi="Century Gothic"/>
          <w:b/>
          <w:lang w:val="es-US"/>
        </w:rPr>
        <w:t xml:space="preserve">: </w:t>
      </w:r>
    </w:p>
    <w:p w14:paraId="6E4B7FD2" w14:textId="77777777" w:rsidR="00E17CDF" w:rsidRPr="00E17CDF" w:rsidRDefault="00E17CDF" w:rsidP="00E17CDF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lang w:val="es-US"/>
        </w:rPr>
        <w:t>1.</w:t>
      </w:r>
      <w:r w:rsidRPr="00E17CDF">
        <w:rPr>
          <w:rFonts w:ascii="Century Gothic" w:hAnsi="Century Gothic"/>
          <w:lang w:val="es-US"/>
        </w:rPr>
        <w:tab/>
        <w:t>Novos equipamentos e processos</w:t>
      </w:r>
    </w:p>
    <w:p w14:paraId="617395A5" w14:textId="77777777" w:rsidR="00E17CDF" w:rsidRPr="00E17CDF" w:rsidRDefault="00E17CDF" w:rsidP="00E17CDF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lang w:val="es-US"/>
        </w:rPr>
        <w:t>2.</w:t>
      </w:r>
      <w:r w:rsidRPr="00E17CDF">
        <w:rPr>
          <w:rFonts w:ascii="Century Gothic" w:hAnsi="Century Gothic"/>
          <w:lang w:val="es-US"/>
        </w:rPr>
        <w:tab/>
        <w:t>Registos de acidentes</w:t>
      </w:r>
    </w:p>
    <w:p w14:paraId="2A40CC9C" w14:textId="77777777" w:rsidR="00E17CDF" w:rsidRPr="00E17CDF" w:rsidRDefault="00E17CDF" w:rsidP="00E17CDF">
      <w:pPr>
        <w:spacing w:after="160" w:line="259" w:lineRule="auto"/>
        <w:ind w:left="0" w:firstLine="0"/>
        <w:rPr>
          <w:rFonts w:ascii="Century Gothic" w:hAnsi="Century Gothic"/>
        </w:rPr>
      </w:pPr>
      <w:r w:rsidRPr="00E17CDF">
        <w:rPr>
          <w:rFonts w:ascii="Century Gothic" w:hAnsi="Century Gothic"/>
        </w:rPr>
        <w:t>3.</w:t>
      </w:r>
      <w:r w:rsidRPr="00E17CDF">
        <w:rPr>
          <w:rFonts w:ascii="Century Gothic" w:hAnsi="Century Gothic"/>
        </w:rPr>
        <w:tab/>
        <w:t>Adequação de EPI previamente seleccionados</w:t>
      </w:r>
    </w:p>
    <w:p w14:paraId="12F64535" w14:textId="77777777" w:rsidR="00095C57" w:rsidRPr="00E17CDF" w:rsidRDefault="00E17CDF" w:rsidP="00E17CDF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E17CDF">
        <w:rPr>
          <w:rFonts w:ascii="Century Gothic" w:hAnsi="Century Gothic"/>
          <w:lang w:val="es-US"/>
        </w:rPr>
        <w:t>Ver a Avaliação de Perigos em anexo</w:t>
      </w:r>
      <w:r w:rsidR="00095C57" w:rsidRPr="00E17CDF">
        <w:rPr>
          <w:rFonts w:ascii="Century Gothic" w:hAnsi="Century Gothic"/>
          <w:lang w:val="es-US"/>
        </w:rPr>
        <w:br w:type="page"/>
      </w:r>
    </w:p>
    <w:p w14:paraId="0CC9AF24" w14:textId="77777777" w:rsidR="00095C57" w:rsidRPr="00D47953" w:rsidRDefault="00E17CDF" w:rsidP="00095C57">
      <w:pPr>
        <w:spacing w:after="255"/>
        <w:ind w:left="-2"/>
        <w:jc w:val="center"/>
        <w:rPr>
          <w:rFonts w:ascii="Century Gothic" w:hAnsi="Century Gothic"/>
        </w:rPr>
      </w:pPr>
      <w:r w:rsidRPr="00E17CDF">
        <w:rPr>
          <w:rFonts w:ascii="Century Gothic" w:eastAsia="Arial" w:hAnsi="Century Gothic" w:cs="Arial"/>
          <w:b/>
        </w:rPr>
        <w:lastRenderedPageBreak/>
        <w:t>COVID-19 AVALIAÇÃO DE PERIGO</w:t>
      </w:r>
    </w:p>
    <w:tbl>
      <w:tblPr>
        <w:tblStyle w:val="TableGrid1"/>
        <w:tblW w:w="14605" w:type="dxa"/>
        <w:tblInd w:w="-800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095C57" w:rsidRPr="00D47953" w14:paraId="0EB5E0E6" w14:textId="77777777" w:rsidTr="00680D8D">
        <w:trPr>
          <w:trHeight w:val="310"/>
        </w:trPr>
        <w:tc>
          <w:tcPr>
            <w:tcW w:w="11600" w:type="dxa"/>
            <w:gridSpan w:val="3"/>
            <w:tcBorders>
              <w:bottom w:val="single" w:sz="4" w:space="0" w:color="auto"/>
            </w:tcBorders>
          </w:tcPr>
          <w:p w14:paraId="3050A3FD" w14:textId="77777777" w:rsidR="00095C57" w:rsidRPr="00D47953" w:rsidRDefault="00E17CDF" w:rsidP="00680D8D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</w:rPr>
              <w:t>Avaliador</w:t>
            </w:r>
            <w:r w:rsidR="00095C57" w:rsidRPr="00D47953">
              <w:rPr>
                <w:rFonts w:ascii="Century Gothic" w:hAnsi="Century Gothic"/>
              </w:rPr>
              <w:t xml:space="preserve">: </w:t>
            </w:r>
            <w:r w:rsidR="00095C57" w:rsidRPr="00D47953">
              <w:rPr>
                <w:rFonts w:ascii="Century Gothic" w:hAnsi="Century Gothic"/>
              </w:rPr>
              <w:tab/>
            </w:r>
            <w:r w:rsidRPr="00E17CDF">
              <w:rPr>
                <w:rFonts w:ascii="Century Gothic" w:hAnsi="Century Gothic"/>
                <w:b/>
              </w:rPr>
              <w:t>Departamento/Divisão</w:t>
            </w:r>
            <w:r w:rsidR="00095C57" w:rsidRPr="00D47953">
              <w:rPr>
                <w:rFonts w:ascii="Century Gothic" w:hAnsi="Century Gothic"/>
                <w:b/>
              </w:rPr>
              <w:t>:</w:t>
            </w:r>
            <w:r w:rsidR="00095C57" w:rsidRPr="00D47953">
              <w:rPr>
                <w:rFonts w:ascii="Century Gothic" w:hAnsi="Century Gothic"/>
                <w:b/>
              </w:rPr>
              <w:tab/>
            </w:r>
            <w:r w:rsidRPr="00E17CDF">
              <w:rPr>
                <w:rFonts w:ascii="Century Gothic" w:hAnsi="Century Gothic"/>
                <w:b/>
              </w:rPr>
              <w:t>Data</w:t>
            </w:r>
            <w:r w:rsidR="00095C57" w:rsidRPr="00D47953">
              <w:rPr>
                <w:rFonts w:ascii="Century Gothic" w:hAnsi="Century Gothic"/>
                <w:b/>
              </w:rPr>
              <w:t xml:space="preserve">: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0AFE552" w14:textId="77777777" w:rsidR="00095C57" w:rsidRPr="00D47953" w:rsidRDefault="00095C57" w:rsidP="00680D8D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  <w:p w14:paraId="16FD4E69" w14:textId="77777777" w:rsidR="00095C57" w:rsidRPr="00D47953" w:rsidRDefault="00095C57" w:rsidP="00680D8D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95C57" w:rsidRPr="00E17CDF" w14:paraId="6E32A9EA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75B" w14:textId="77777777" w:rsidR="00095C57" w:rsidRPr="00E17CDF" w:rsidRDefault="00E17CDF" w:rsidP="00680D8D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Tarefa/Trabalhador/Categoria de trabalho</w:t>
            </w:r>
          </w:p>
        </w:tc>
      </w:tr>
      <w:tr w:rsidR="00095C57" w:rsidRPr="00D47953" w14:paraId="318C7C08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997" w14:textId="77777777" w:rsidR="00095C57" w:rsidRPr="00E17CDF" w:rsidRDefault="00E17CDF" w:rsidP="00680D8D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Marcar a caixa apropriada para cada perigo</w:t>
            </w:r>
            <w:r w:rsidR="00095C57"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B8C5" w14:textId="77777777" w:rsidR="00095C57" w:rsidRPr="00D47953" w:rsidRDefault="00E17CDF" w:rsidP="00680D8D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Descrição do(s) perigo(s</w:t>
            </w:r>
            <w:r w:rsidR="00095C57" w:rsidRPr="00D47953">
              <w:rPr>
                <w:rFonts w:ascii="Century Gothic" w:hAnsi="Century Gothic"/>
                <w:b/>
                <w:i/>
                <w:sz w:val="16"/>
              </w:rPr>
              <w:t>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8EA" w14:textId="77777777" w:rsidR="00095C57" w:rsidRPr="00D47953" w:rsidRDefault="00E17CDF" w:rsidP="00680D8D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Controlos de Engenharia/Administrativos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717" w14:textId="77777777" w:rsidR="00095C57" w:rsidRPr="00D47953" w:rsidRDefault="00E17CDF" w:rsidP="00680D8D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692ED3" w:rsidRPr="00D47953" w14:paraId="6234E562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E1A" w14:textId="77777777" w:rsidR="00692ED3" w:rsidRPr="009A23F4" w:rsidRDefault="00692ED3" w:rsidP="00692ED3">
            <w:r w:rsidRPr="009A23F4">
              <w:t>Muito Alta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B6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15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7289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5DD5C39C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4EF" w14:textId="77777777" w:rsidR="00692ED3" w:rsidRPr="009A23F4" w:rsidRDefault="00692ED3" w:rsidP="00692ED3">
            <w:r w:rsidRPr="009A23F4"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09F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549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80431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6951B24C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284" w14:textId="77777777" w:rsidR="00692ED3" w:rsidRPr="009A23F4" w:rsidRDefault="00692ED3" w:rsidP="00692ED3">
            <w:r w:rsidRPr="009A23F4">
              <w:t>Médio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2E7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8FB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E90E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295751C9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351" w14:textId="77777777" w:rsidR="00692ED3" w:rsidRDefault="00692ED3" w:rsidP="00692ED3">
            <w: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857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CA4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404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692ED3" w14:paraId="3174CE74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7D1" w14:textId="77777777" w:rsidR="00692ED3" w:rsidRPr="00E17CDF" w:rsidRDefault="00692ED3" w:rsidP="00692ED3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Tarefa/Trabalhador/Categoria de trabalho</w:t>
            </w:r>
          </w:p>
        </w:tc>
      </w:tr>
      <w:tr w:rsidR="00E17CDF" w:rsidRPr="00D47953" w14:paraId="622BBCCA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473" w14:textId="77777777" w:rsidR="00E17CDF" w:rsidRPr="00E17CDF" w:rsidRDefault="00E17CDF" w:rsidP="00E17CDF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Marcar a caixa apropriada para cada perigo: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797" w14:textId="77777777" w:rsidR="00E17CDF" w:rsidRPr="00D47953" w:rsidRDefault="00E17CDF" w:rsidP="00E17CDF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Descrição do(s) perigo(s</w:t>
            </w:r>
            <w:r w:rsidRPr="00D47953">
              <w:rPr>
                <w:rFonts w:ascii="Century Gothic" w:hAnsi="Century Gothic"/>
                <w:b/>
                <w:i/>
                <w:sz w:val="16"/>
              </w:rPr>
              <w:t>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A057" w14:textId="77777777" w:rsidR="00E17CDF" w:rsidRPr="00D47953" w:rsidRDefault="00E17CDF" w:rsidP="00E17CDF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Controlos de Engenharia/Administrativos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0432" w14:textId="77777777" w:rsidR="00E17CDF" w:rsidRPr="00D47953" w:rsidRDefault="00E17CDF" w:rsidP="00E17CDF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692ED3" w:rsidRPr="00D47953" w14:paraId="6A4F7FEC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E4A" w14:textId="77777777" w:rsidR="00692ED3" w:rsidRPr="009A23F4" w:rsidRDefault="00692ED3" w:rsidP="00692ED3">
            <w:r w:rsidRPr="009A23F4">
              <w:t>Muito Alta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EDC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676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F7A9C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751F55FF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4FE" w14:textId="77777777" w:rsidR="00692ED3" w:rsidRPr="009A23F4" w:rsidRDefault="00692ED3" w:rsidP="00692ED3">
            <w:r w:rsidRPr="009A23F4"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91A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B018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64A8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56062CBD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717" w14:textId="77777777" w:rsidR="00692ED3" w:rsidRPr="009A23F4" w:rsidRDefault="00692ED3" w:rsidP="00692ED3">
            <w:r w:rsidRPr="009A23F4">
              <w:t>Médio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626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CA6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CF2A9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2B7CA0C8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55A" w14:textId="77777777" w:rsidR="00692ED3" w:rsidRDefault="00692ED3" w:rsidP="00692ED3">
            <w: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D9C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9F7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D96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692ED3" w14:paraId="56E5DC95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D19A" w14:textId="77777777" w:rsidR="00692ED3" w:rsidRPr="00E17CDF" w:rsidRDefault="00692ED3" w:rsidP="00692ED3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Tarefa/Trabalhador/Categoria de trabalho</w:t>
            </w:r>
          </w:p>
        </w:tc>
      </w:tr>
      <w:tr w:rsidR="00692ED3" w:rsidRPr="00D47953" w14:paraId="240762D8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F96" w14:textId="77777777" w:rsidR="00692ED3" w:rsidRPr="00E17CDF" w:rsidRDefault="00692ED3" w:rsidP="00692ED3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Marcar a caixa apropriada para cada perigo: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711" w14:textId="77777777" w:rsidR="00692ED3" w:rsidRPr="00D47953" w:rsidRDefault="00692ED3" w:rsidP="00692ED3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Descrição do(s) perigo(s</w:t>
            </w:r>
            <w:r w:rsidRPr="00D47953">
              <w:rPr>
                <w:rFonts w:ascii="Century Gothic" w:hAnsi="Century Gothic"/>
                <w:b/>
                <w:i/>
                <w:sz w:val="16"/>
              </w:rPr>
              <w:t>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E65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Controlos de Engenharia/Administrativos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CA7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692ED3" w:rsidRPr="00D47953" w14:paraId="72BF2A6C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995" w14:textId="77777777" w:rsidR="00692ED3" w:rsidRPr="009A23F4" w:rsidRDefault="00692ED3" w:rsidP="00692ED3">
            <w:r w:rsidRPr="009A23F4">
              <w:t>Muito Alta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D0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FFC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FAC3B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49FE585D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D04" w14:textId="77777777" w:rsidR="00692ED3" w:rsidRPr="009A23F4" w:rsidRDefault="00692ED3" w:rsidP="00692ED3">
            <w:r w:rsidRPr="009A23F4"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EF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644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76D4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7EF9F82F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E36" w14:textId="77777777" w:rsidR="00692ED3" w:rsidRPr="009A23F4" w:rsidRDefault="00692ED3" w:rsidP="00692ED3">
            <w:r w:rsidRPr="009A23F4">
              <w:t>Médio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311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122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AA5D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2832732A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62A" w14:textId="77777777" w:rsidR="00692ED3" w:rsidRDefault="00692ED3" w:rsidP="00692ED3">
            <w: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319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7C0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081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692ED3" w14:paraId="62F5390A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4FB" w14:textId="77777777" w:rsidR="00692ED3" w:rsidRPr="00E17CDF" w:rsidRDefault="00692ED3" w:rsidP="00692ED3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Tarefa/Trabalhador/Categoria de trabalho</w:t>
            </w:r>
          </w:p>
        </w:tc>
      </w:tr>
      <w:tr w:rsidR="00692ED3" w:rsidRPr="00D47953" w14:paraId="300681E8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5E3" w14:textId="77777777" w:rsidR="00692ED3" w:rsidRPr="00E17CDF" w:rsidRDefault="00692ED3" w:rsidP="00692ED3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Marcar a caixa apropriada para cada perigo: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CD3" w14:textId="77777777" w:rsidR="00692ED3" w:rsidRPr="00D47953" w:rsidRDefault="00692ED3" w:rsidP="00692ED3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Descrição do(s) perigo(s</w:t>
            </w:r>
            <w:r w:rsidRPr="00D47953">
              <w:rPr>
                <w:rFonts w:ascii="Century Gothic" w:hAnsi="Century Gothic"/>
                <w:b/>
                <w:i/>
                <w:sz w:val="16"/>
              </w:rPr>
              <w:t>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220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Controlos de Engenharia/Administrativos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FE8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692ED3" w:rsidRPr="00D47953" w14:paraId="29F1FDC0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6F8" w14:textId="77777777" w:rsidR="00692ED3" w:rsidRPr="009A23F4" w:rsidRDefault="00692ED3" w:rsidP="00692ED3">
            <w:r w:rsidRPr="009A23F4">
              <w:t>Muito Alta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8B9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6A0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694A9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4D00DEDF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6DF" w14:textId="77777777" w:rsidR="00692ED3" w:rsidRPr="009A23F4" w:rsidRDefault="00692ED3" w:rsidP="00692ED3">
            <w:r w:rsidRPr="009A23F4"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4B8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3A2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5E360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35161AE7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ABD" w14:textId="77777777" w:rsidR="00692ED3" w:rsidRPr="009A23F4" w:rsidRDefault="00692ED3" w:rsidP="00692ED3">
            <w:r w:rsidRPr="009A23F4">
              <w:t>Médio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374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4DB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68CD9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798FC5E8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0FE" w14:textId="77777777" w:rsidR="00692ED3" w:rsidRDefault="00692ED3" w:rsidP="00692ED3">
            <w: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847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AF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4AB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692ED3" w14:paraId="20E7AA32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18E" w14:textId="77777777" w:rsidR="00692ED3" w:rsidRPr="00E17CDF" w:rsidRDefault="00692ED3" w:rsidP="00692ED3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lastRenderedPageBreak/>
              <w:t>Tarefa/Trabalhador/Categoria de trabalho</w:t>
            </w:r>
          </w:p>
        </w:tc>
      </w:tr>
      <w:tr w:rsidR="00692ED3" w:rsidRPr="00D47953" w14:paraId="31412511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02F" w14:textId="77777777" w:rsidR="00692ED3" w:rsidRPr="00E17CDF" w:rsidRDefault="00692ED3" w:rsidP="00692ED3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Marcar a caixa apropriada para cada perigo: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AFB" w14:textId="77777777" w:rsidR="00692ED3" w:rsidRPr="00D47953" w:rsidRDefault="00692ED3" w:rsidP="00692ED3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Descrição do(s) perigo(s</w:t>
            </w:r>
            <w:r w:rsidRPr="00D47953">
              <w:rPr>
                <w:rFonts w:ascii="Century Gothic" w:hAnsi="Century Gothic"/>
                <w:b/>
                <w:i/>
                <w:sz w:val="16"/>
              </w:rPr>
              <w:t>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50F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Controlos de Engenharia/Administrativos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5AED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692ED3" w:rsidRPr="00D47953" w14:paraId="4AB2812D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777" w14:textId="77777777" w:rsidR="00692ED3" w:rsidRPr="009A23F4" w:rsidRDefault="00692ED3" w:rsidP="00692ED3">
            <w:r w:rsidRPr="009A23F4">
              <w:t>Muito Alta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55A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E5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6FE5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2B5F7C7C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526" w14:textId="77777777" w:rsidR="00692ED3" w:rsidRPr="009A23F4" w:rsidRDefault="00692ED3" w:rsidP="00692ED3">
            <w:r w:rsidRPr="009A23F4"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891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A47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5C0BB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68A72E60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D85" w14:textId="77777777" w:rsidR="00692ED3" w:rsidRPr="009A23F4" w:rsidRDefault="00692ED3" w:rsidP="00692ED3">
            <w:r w:rsidRPr="009A23F4">
              <w:t>Médio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AD5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F7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2A8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21E26D0C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9D4" w14:textId="77777777" w:rsidR="00692ED3" w:rsidRDefault="00692ED3" w:rsidP="00692ED3">
            <w: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BD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540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44E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692ED3" w14:paraId="32237208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0D1" w14:textId="77777777" w:rsidR="00692ED3" w:rsidRPr="00E17CDF" w:rsidRDefault="00692ED3" w:rsidP="00692ED3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Tarefa/Trabalhador/Categoria de trabalho</w:t>
            </w:r>
          </w:p>
        </w:tc>
      </w:tr>
      <w:tr w:rsidR="00692ED3" w:rsidRPr="00D47953" w14:paraId="0B6F8693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7EA" w14:textId="77777777" w:rsidR="00692ED3" w:rsidRPr="00E17CDF" w:rsidRDefault="00692ED3" w:rsidP="00692ED3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Marcar a caixa apropriada para cada perigo: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8AB" w14:textId="77777777" w:rsidR="00692ED3" w:rsidRPr="00D47953" w:rsidRDefault="00692ED3" w:rsidP="00692ED3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Descrição do(s) perigo(s</w:t>
            </w:r>
            <w:r w:rsidRPr="00D47953">
              <w:rPr>
                <w:rFonts w:ascii="Century Gothic" w:hAnsi="Century Gothic"/>
                <w:b/>
                <w:i/>
                <w:sz w:val="16"/>
              </w:rPr>
              <w:t>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57E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Controlos de Engenharia/Administrativos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BD2F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692ED3" w:rsidRPr="00D47953" w14:paraId="07C091CF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85A" w14:textId="77777777" w:rsidR="00692ED3" w:rsidRPr="009A23F4" w:rsidRDefault="00692ED3" w:rsidP="00692ED3">
            <w:r w:rsidRPr="009A23F4">
              <w:t>Muito Alta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250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D4C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DDE93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7A19576C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4F7" w14:textId="77777777" w:rsidR="00692ED3" w:rsidRPr="009A23F4" w:rsidRDefault="00692ED3" w:rsidP="00692ED3">
            <w:r w:rsidRPr="009A23F4"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523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C68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354CE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13C5CAF8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C5A" w14:textId="77777777" w:rsidR="00692ED3" w:rsidRPr="009A23F4" w:rsidRDefault="00692ED3" w:rsidP="00692ED3">
            <w:r w:rsidRPr="009A23F4">
              <w:t>Médio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4BF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B3D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B338F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5A4569C9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3A7" w14:textId="77777777" w:rsidR="00692ED3" w:rsidRDefault="00692ED3" w:rsidP="00692ED3">
            <w: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30E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B35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FCB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692ED3" w14:paraId="524D7F32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919" w14:textId="77777777" w:rsidR="00692ED3" w:rsidRPr="00E17CDF" w:rsidRDefault="00692ED3" w:rsidP="00692ED3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Tarefa/Trabalhador/Categoria de trabalho</w:t>
            </w:r>
          </w:p>
        </w:tc>
      </w:tr>
      <w:tr w:rsidR="00692ED3" w:rsidRPr="00D47953" w14:paraId="4C376638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7636" w14:textId="77777777" w:rsidR="00692ED3" w:rsidRPr="00E17CDF" w:rsidRDefault="00692ED3" w:rsidP="00692ED3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  <w:lang w:val="es-US"/>
              </w:rPr>
              <w:t>Marcar a caixa apropriada para cada perigo: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AF51" w14:textId="77777777" w:rsidR="00692ED3" w:rsidRPr="00D47953" w:rsidRDefault="00692ED3" w:rsidP="00692ED3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Descrição do(s) perigo(s</w:t>
            </w:r>
            <w:r w:rsidRPr="00D47953">
              <w:rPr>
                <w:rFonts w:ascii="Century Gothic" w:hAnsi="Century Gothic"/>
                <w:b/>
                <w:i/>
                <w:sz w:val="16"/>
              </w:rPr>
              <w:t>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4AA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Controlos de Engenharia/Administrativos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4A3" w14:textId="77777777" w:rsidR="00692ED3" w:rsidRPr="00D47953" w:rsidRDefault="00692ED3" w:rsidP="00692ED3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E17CDF"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692ED3" w:rsidRPr="00D47953" w14:paraId="365EA8ED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24" w14:textId="77777777" w:rsidR="00692ED3" w:rsidRPr="009A23F4" w:rsidRDefault="00692ED3" w:rsidP="00692ED3">
            <w:r w:rsidRPr="009A23F4">
              <w:t>Muito Alta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2DA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2BE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3C13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4135A5F8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808" w14:textId="77777777" w:rsidR="00692ED3" w:rsidRPr="009A23F4" w:rsidRDefault="00692ED3" w:rsidP="00692ED3">
            <w:r w:rsidRPr="009A23F4"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63E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5B40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A7EF7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6C27F82C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593" w14:textId="77777777" w:rsidR="00692ED3" w:rsidRPr="009A23F4" w:rsidRDefault="00692ED3" w:rsidP="00692ED3">
            <w:r w:rsidRPr="009A23F4">
              <w:t>Médio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102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3F1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82B4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6C4E681E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672" w14:textId="77777777" w:rsidR="00692ED3" w:rsidRDefault="00692ED3" w:rsidP="00692ED3">
            <w: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43FF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CA5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C11" w14:textId="77777777" w:rsidR="00692ED3" w:rsidRPr="00D47953" w:rsidRDefault="00692ED3" w:rsidP="00692ED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92ED3" w:rsidRPr="00D47953" w14:paraId="16941526" w14:textId="77777777" w:rsidTr="00680D8D">
        <w:tblPrEx>
          <w:tblCellMar>
            <w:top w:w="40" w:type="dxa"/>
            <w:left w:w="103" w:type="dxa"/>
            <w:right w:w="115" w:type="dxa"/>
          </w:tblCellMar>
        </w:tblPrEx>
        <w:trPr>
          <w:trHeight w:val="762"/>
        </w:trPr>
        <w:tc>
          <w:tcPr>
            <w:tcW w:w="146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6FD2F20" w14:textId="77777777" w:rsidR="00692ED3" w:rsidRPr="00692ED3" w:rsidRDefault="00692ED3" w:rsidP="00692ED3">
            <w:pPr>
              <w:spacing w:after="129" w:line="259" w:lineRule="auto"/>
              <w:ind w:left="0" w:firstLine="0"/>
              <w:rPr>
                <w:rFonts w:ascii="Century Gothic" w:hAnsi="Century Gothic"/>
                <w:sz w:val="20"/>
                <w:lang w:val="es-US"/>
              </w:rPr>
            </w:pPr>
            <w:r w:rsidRPr="00692ED3">
              <w:rPr>
                <w:rFonts w:ascii="Century Gothic" w:hAnsi="Century Gothic"/>
                <w:sz w:val="20"/>
                <w:lang w:val="es-US"/>
              </w:rPr>
              <w:t xml:space="preserve">Certifico que a avaliação dos perigos acima referida foi realizada com o melhor dos meus conhecimentos e capacidades, com base nos perigos presentes nesta data. </w:t>
            </w:r>
          </w:p>
          <w:p w14:paraId="0A05AB94" w14:textId="77777777" w:rsidR="00692ED3" w:rsidRPr="00D47953" w:rsidRDefault="00692ED3" w:rsidP="00692ED3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692ED3">
              <w:rPr>
                <w:rFonts w:ascii="Century Gothic" w:hAnsi="Century Gothic"/>
                <w:sz w:val="20"/>
              </w:rPr>
              <w:t>______________________________________________ (assinatur</w:t>
            </w:r>
            <w:r>
              <w:rPr>
                <w:rFonts w:ascii="Century Gothic" w:hAnsi="Century Gothic"/>
                <w:sz w:val="20"/>
              </w:rPr>
              <w:t>a)</w:t>
            </w:r>
          </w:p>
        </w:tc>
      </w:tr>
    </w:tbl>
    <w:p w14:paraId="49FC181D" w14:textId="77777777" w:rsidR="00095C57" w:rsidRDefault="00095C57" w:rsidP="00095C57">
      <w:pPr>
        <w:spacing w:after="0" w:line="259" w:lineRule="auto"/>
        <w:ind w:left="-862" w:right="-949" w:firstLine="0"/>
      </w:pPr>
    </w:p>
    <w:p w14:paraId="6735EB0C" w14:textId="77777777" w:rsidR="00EB2BA0" w:rsidRDefault="00A02D8A"/>
    <w:sectPr w:rsidR="00EB2BA0" w:rsidSect="005C67CC">
      <w:headerReference w:type="default" r:id="rId11"/>
      <w:footerReference w:type="default" r:id="rId12"/>
      <w:pgSz w:w="15840" w:h="12240" w:orient="landscape"/>
      <w:pgMar w:top="288" w:right="1537" w:bottom="180" w:left="144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872C" w14:textId="77777777" w:rsidR="00000000" w:rsidRDefault="00A02D8A">
      <w:pPr>
        <w:spacing w:after="0" w:line="240" w:lineRule="auto"/>
      </w:pPr>
      <w:r>
        <w:separator/>
      </w:r>
    </w:p>
  </w:endnote>
  <w:endnote w:type="continuationSeparator" w:id="0">
    <w:p w14:paraId="6E5AC89B" w14:textId="77777777" w:rsidR="00000000" w:rsidRDefault="00A0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0825D0BB" w14:textId="77777777" w:rsidTr="5F5CB55C">
      <w:tc>
        <w:tcPr>
          <w:tcW w:w="4288" w:type="dxa"/>
        </w:tcPr>
        <w:p w14:paraId="0BB14ED6" w14:textId="77777777" w:rsidR="5F5CB55C" w:rsidRDefault="00692ED3" w:rsidP="5F5CB55C">
          <w:pPr>
            <w:pStyle w:val="Header"/>
            <w:ind w:left="-115"/>
          </w:pPr>
          <w:r>
            <w:t>www.doli.virginia.gov</w:t>
          </w:r>
        </w:p>
      </w:tc>
      <w:tc>
        <w:tcPr>
          <w:tcW w:w="4288" w:type="dxa"/>
        </w:tcPr>
        <w:p w14:paraId="2C2A31C6" w14:textId="77777777" w:rsidR="5F5CB55C" w:rsidRDefault="00A02D8A" w:rsidP="5F5CB55C">
          <w:pPr>
            <w:pStyle w:val="Header"/>
            <w:jc w:val="center"/>
          </w:pPr>
        </w:p>
      </w:tc>
      <w:tc>
        <w:tcPr>
          <w:tcW w:w="4288" w:type="dxa"/>
        </w:tcPr>
        <w:p w14:paraId="69C43E16" w14:textId="77777777" w:rsidR="5F5CB55C" w:rsidRDefault="00692ED3" w:rsidP="5F5CB55C">
          <w:pPr>
            <w:pStyle w:val="Header"/>
            <w:ind w:right="-115"/>
            <w:jc w:val="right"/>
          </w:pPr>
          <w:r>
            <w:t>7/27/20</w:t>
          </w:r>
        </w:p>
        <w:p w14:paraId="288EC4EF" w14:textId="77777777" w:rsidR="5F5CB55C" w:rsidRDefault="00A02D8A" w:rsidP="5F5CB55C">
          <w:pPr>
            <w:pStyle w:val="Header"/>
            <w:ind w:left="0" w:right="-115" w:firstLine="0"/>
            <w:jc w:val="right"/>
          </w:pPr>
        </w:p>
      </w:tc>
    </w:tr>
  </w:tbl>
  <w:p w14:paraId="2DC5497C" w14:textId="77777777" w:rsidR="5F5CB55C" w:rsidRDefault="00A02D8A" w:rsidP="5F5CB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CCA0A" w14:textId="77777777" w:rsidR="00000000" w:rsidRDefault="00A02D8A">
      <w:pPr>
        <w:spacing w:after="0" w:line="240" w:lineRule="auto"/>
      </w:pPr>
      <w:r>
        <w:separator/>
      </w:r>
    </w:p>
  </w:footnote>
  <w:footnote w:type="continuationSeparator" w:id="0">
    <w:p w14:paraId="1374F5D5" w14:textId="77777777" w:rsidR="00000000" w:rsidRDefault="00A0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1B5462B5" w14:textId="77777777" w:rsidTr="5F5CB55C">
      <w:tc>
        <w:tcPr>
          <w:tcW w:w="4288" w:type="dxa"/>
        </w:tcPr>
        <w:p w14:paraId="361A63DC" w14:textId="77777777" w:rsidR="5F5CB55C" w:rsidRDefault="00A02D8A" w:rsidP="5F5CB55C">
          <w:pPr>
            <w:pStyle w:val="Header"/>
            <w:ind w:left="-115"/>
          </w:pPr>
        </w:p>
      </w:tc>
      <w:tc>
        <w:tcPr>
          <w:tcW w:w="4288" w:type="dxa"/>
        </w:tcPr>
        <w:p w14:paraId="2D75B881" w14:textId="77777777" w:rsidR="5F5CB55C" w:rsidRDefault="00A02D8A" w:rsidP="5F5CB55C">
          <w:pPr>
            <w:pStyle w:val="Header"/>
            <w:jc w:val="center"/>
          </w:pPr>
        </w:p>
      </w:tc>
      <w:tc>
        <w:tcPr>
          <w:tcW w:w="4288" w:type="dxa"/>
        </w:tcPr>
        <w:p w14:paraId="1833EE94" w14:textId="77777777" w:rsidR="5F5CB55C" w:rsidRDefault="00A02D8A" w:rsidP="5F5CB55C">
          <w:pPr>
            <w:pStyle w:val="Header"/>
            <w:ind w:right="-115"/>
            <w:jc w:val="right"/>
          </w:pPr>
        </w:p>
      </w:tc>
    </w:tr>
  </w:tbl>
  <w:p w14:paraId="0F5B8369" w14:textId="77777777" w:rsidR="5F5CB55C" w:rsidRDefault="00A02D8A" w:rsidP="5F5CB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7BB"/>
    <w:multiLevelType w:val="hybridMultilevel"/>
    <w:tmpl w:val="E87A4B04"/>
    <w:lvl w:ilvl="0" w:tplc="473E9418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A2431D"/>
    <w:multiLevelType w:val="hybridMultilevel"/>
    <w:tmpl w:val="C58E7908"/>
    <w:lvl w:ilvl="0" w:tplc="980C7884">
      <w:start w:val="1"/>
      <w:numFmt w:val="decimal"/>
      <w:lvlText w:val="%1."/>
      <w:lvlJc w:val="left"/>
      <w:pPr>
        <w:ind w:left="720" w:hanging="360"/>
      </w:pPr>
    </w:lvl>
    <w:lvl w:ilvl="1" w:tplc="F002268C">
      <w:start w:val="1"/>
      <w:numFmt w:val="lowerRoman"/>
      <w:lvlText w:val="%2."/>
      <w:lvlJc w:val="left"/>
      <w:pPr>
        <w:ind w:left="1440" w:hanging="360"/>
      </w:pPr>
    </w:lvl>
    <w:lvl w:ilvl="2" w:tplc="4D90F574">
      <w:start w:val="1"/>
      <w:numFmt w:val="lowerRoman"/>
      <w:lvlText w:val="%3."/>
      <w:lvlJc w:val="right"/>
      <w:pPr>
        <w:ind w:left="2160" w:hanging="180"/>
      </w:pPr>
    </w:lvl>
    <w:lvl w:ilvl="3" w:tplc="E5D24072">
      <w:start w:val="1"/>
      <w:numFmt w:val="decimal"/>
      <w:lvlText w:val="%4."/>
      <w:lvlJc w:val="left"/>
      <w:pPr>
        <w:ind w:left="2880" w:hanging="360"/>
      </w:pPr>
    </w:lvl>
    <w:lvl w:ilvl="4" w:tplc="C308A59C">
      <w:start w:val="1"/>
      <w:numFmt w:val="lowerLetter"/>
      <w:lvlText w:val="%5."/>
      <w:lvlJc w:val="left"/>
      <w:pPr>
        <w:ind w:left="3600" w:hanging="360"/>
      </w:pPr>
    </w:lvl>
    <w:lvl w:ilvl="5" w:tplc="CD2828FC">
      <w:start w:val="1"/>
      <w:numFmt w:val="lowerRoman"/>
      <w:lvlText w:val="%6."/>
      <w:lvlJc w:val="right"/>
      <w:pPr>
        <w:ind w:left="4320" w:hanging="180"/>
      </w:pPr>
    </w:lvl>
    <w:lvl w:ilvl="6" w:tplc="A9D0076E">
      <w:start w:val="1"/>
      <w:numFmt w:val="decimal"/>
      <w:lvlText w:val="%7."/>
      <w:lvlJc w:val="left"/>
      <w:pPr>
        <w:ind w:left="5040" w:hanging="360"/>
      </w:pPr>
    </w:lvl>
    <w:lvl w:ilvl="7" w:tplc="7B8079CA">
      <w:start w:val="1"/>
      <w:numFmt w:val="lowerLetter"/>
      <w:lvlText w:val="%8."/>
      <w:lvlJc w:val="left"/>
      <w:pPr>
        <w:ind w:left="5760" w:hanging="360"/>
      </w:pPr>
    </w:lvl>
    <w:lvl w:ilvl="8" w:tplc="B64056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26C16"/>
    <w:multiLevelType w:val="hybridMultilevel"/>
    <w:tmpl w:val="C45A2A40"/>
    <w:lvl w:ilvl="0" w:tplc="3A44BE2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2E6C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8F51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2BC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8B2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0A08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4BD3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87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4BA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57"/>
    <w:rsid w:val="00095C57"/>
    <w:rsid w:val="00692ED3"/>
    <w:rsid w:val="00A02D8A"/>
    <w:rsid w:val="00C2568C"/>
    <w:rsid w:val="00C97131"/>
    <w:rsid w:val="00E1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9682"/>
  <w15:chartTrackingRefBased/>
  <w15:docId w15:val="{FC15832B-CBDF-4072-B55C-A5B75E5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C57"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095C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95C5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95C57"/>
  </w:style>
  <w:style w:type="paragraph" w:styleId="Header">
    <w:name w:val="header"/>
    <w:basedOn w:val="Normal"/>
    <w:link w:val="HeaderChar"/>
    <w:uiPriority w:val="99"/>
    <w:unhideWhenUsed/>
    <w:rsid w:val="00095C5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1">
    <w:name w:val="Header Char1"/>
    <w:basedOn w:val="DefaultParagraphFont"/>
    <w:uiPriority w:val="99"/>
    <w:semiHidden/>
    <w:rsid w:val="00095C57"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095C57"/>
  </w:style>
  <w:style w:type="paragraph" w:styleId="Footer">
    <w:name w:val="footer"/>
    <w:basedOn w:val="Normal"/>
    <w:link w:val="FooterChar"/>
    <w:uiPriority w:val="99"/>
    <w:unhideWhenUsed/>
    <w:rsid w:val="00095C5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1">
    <w:name w:val="Footer Char1"/>
    <w:basedOn w:val="DefaultParagraphFont"/>
    <w:uiPriority w:val="99"/>
    <w:semiHidden/>
    <w:rsid w:val="00095C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CF07E2071741BFB88759396349F3" ma:contentTypeVersion="4" ma:contentTypeDescription="Create a new document." ma:contentTypeScope="" ma:versionID="3e4b65b831af5c5f2ef436bd2aa58faf">
  <xsd:schema xmlns:xsd="http://www.w3.org/2001/XMLSchema" xmlns:xs="http://www.w3.org/2001/XMLSchema" xmlns:p="http://schemas.microsoft.com/office/2006/metadata/properties" xmlns:ns2="7dff0276-1a18-4a0a-a1b9-413c8d1321ef" xmlns:ns3="bfa5c831-db00-4542-aa15-6b94aa1d4d14" targetNamespace="http://schemas.microsoft.com/office/2006/metadata/properties" ma:root="true" ma:fieldsID="c284475e0f5f2c0d0448ff9b454b95eb" ns2:_="" ns3:_="">
    <xsd:import namespace="7dff0276-1a18-4a0a-a1b9-413c8d1321ef"/>
    <xsd:import namespace="bfa5c831-db00-4542-aa15-6b94aa1d4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0276-1a18-4a0a-a1b9-413c8d1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831-db00-4542-aa15-6b94aa1d4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C34DF-A06F-4274-BC91-2CFE9974B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23129-6A03-4765-97AB-8392C1BE5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f0276-1a18-4a0a-a1b9-413c8d1321ef"/>
    <ds:schemaRef ds:uri="bfa5c831-db00-4542-aa15-6b94aa1d4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BAC4D-169C-48EE-BCCF-EE02448BF123}">
  <ds:schemaRefs>
    <ds:schemaRef ds:uri="http://purl.org/dc/elements/1.1/"/>
    <ds:schemaRef ds:uri="http://schemas.microsoft.com/office/2006/metadata/properties"/>
    <ds:schemaRef ds:uri="http://purl.org/dc/terms/"/>
    <ds:schemaRef ds:uri="bfa5c831-db00-4542-aa15-6b94aa1d4d1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dff0276-1a18-4a0a-a1b9-413c8d1321e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Cruz-corniel, Jeremias (DOLI)</dc:creator>
  <cp:keywords/>
  <dc:description/>
  <cp:lastModifiedBy>Griffin, Nathanial (DOLI)</cp:lastModifiedBy>
  <cp:revision>2</cp:revision>
  <dcterms:created xsi:type="dcterms:W3CDTF">2020-08-07T14:20:00Z</dcterms:created>
  <dcterms:modified xsi:type="dcterms:W3CDTF">2020-08-07T14:20:00Z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0x0101000883CF07E2071741BFB88759396349F3</vt:lpwstr>
  </property>
</Properties>
</file>